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5.png" ContentType="image/png"/>
  <Override PartName="/word/media/rId43.png" ContentType="image/png"/>
  <Override PartName="/word/media/rId46.png" ContentType="image/png"/>
  <Override PartName="/word/media/rId44.png" ContentType="image/png"/>
  <Override PartName="/word/media/rId49.png" ContentType="image/png"/>
  <Override PartName="/word/media/rId47.png" ContentType="image/png"/>
  <Override PartName="/word/media/rId4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2020-10-24 12:17:09</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Chl-a.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Heading3"/>
      </w:pPr>
      <w:bookmarkStart w:id="32" w:name="general-approach"/>
      <w:r>
        <w:t xml:space="preserve">General approach</w:t>
      </w:r>
      <w:bookmarkEnd w:id="32"/>
    </w:p>
    <w:p>
      <w:pPr>
        <w:pStyle w:val="FirstParagraph"/>
      </w:pPr>
      <w:r>
        <w:t xml:space="preserve">The methods proposed here involve three stages. In the first stage, a GAM is used to estimate a smooth pattern of variation in the raw data along with its uncertainty. In the second stage, a feature of interest is calculated from the estimated GAM, along with its propagated uncertainty. In the examples here, the feature is a seasonal average. Other features could be the timing or magnitude of a seasonal peak, but those are not developed here. In the third stage, a mixed effects meta-analysis is used to estimate trends and/or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They use response data that come with standard errors (uncertainties), which is exactly the need here. We give two kinds of mixed effects meta-analysis steps: simple comparison of whether seasonal features differ across years, and estimation of short-term linear trends on time-scales chosen by the analyst. These allow analysis of new kinds of questions for long-term water quality monitoring data.</w:t>
      </w:r>
    </w:p>
    <w:p>
      <w:pPr>
        <w:pStyle w:val="BodyText"/>
      </w:pPr>
      <w:r>
        <w:t xml:space="preserve">The three-stage approach is motivated in several ways. In the first stage, the GAM serves the role of signal-extraction at the scale of the raw data. We explain the relationships among various GAM specifications and how some previous methods have entangled the trend-analysis goal with the signal-extraction goal in the formulation of splines, making it harder to interpret either one. The second stage harnesses the capability to propagate uncertainty from estimated GAM parameters to features of interest such as seasonal averages. Such features are usefully viewed as functions of the fitted GAM rather than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incorporate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BodyText"/>
      </w:pPr>
      <w:r>
        <w:t xml:space="preserve">The basic structural form of a Generalized Additive Model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intercept term</w:t>
      </w:r>
      <w:r>
        <w:t xml:space="preserve"> </w:t>
      </w:r>
      <m:oMath>
        <m:sSub>
          <m:e>
            <m:r>
              <m:t>s</m:t>
            </m:r>
          </m:e>
          <m:sub>
            <m:r>
              <m:t>0</m:t>
            </m:r>
          </m:sub>
        </m:sSub>
      </m:oMath>
      <w:r>
        <w:t xml:space="preserve">. The smoothing functions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To evaluate GAMs with SFE chlorophyll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We specifically build our models using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structures in</w:t>
      </w:r>
      <w:r>
        <w:t xml:space="preserve"> </w:t>
      </w:r>
      <w:r>
        <w:t xml:space="preserve">Murphy et al. (</w:t>
      </w:r>
      <w:hyperlink w:anchor="ref-Murphy19">
        <w:r>
          <w:rPr>
            <w:rStyle w:val="Hyperlink"/>
          </w:rPr>
          <w:t xml:space="preserve">2019</w:t>
        </w:r>
      </w:hyperlink>
      <w:r>
        <w:t xml:space="preserve">)</w:t>
      </w:r>
      <w:r>
        <w:t xml:space="preserve">, but present a different naming convention to better distinguish the functional components of the models.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models are shown in equations (2) and (3), denoted as</w:t>
      </w:r>
      <w:r>
        <w:t xml:space="preserve"> </w:t>
      </w:r>
      <w:r>
        <w:t xml:space="preserve">“</w:t>
      </w:r>
      <w:r>
        <w:t xml:space="preserve">Constant season</w:t>
      </w:r>
      <w:r>
        <w:t xml:space="preserve">”</w:t>
      </w:r>
      <w:r>
        <w:t xml:space="preserve"> </w:t>
      </w:r>
      <w:r>
        <w:t xml:space="preserve">and</w:t>
      </w:r>
      <w:r>
        <w:t xml:space="preserve"> </w:t>
      </w:r>
      <w:r>
        <w:t xml:space="preserve">“</w:t>
      </w:r>
      <w:r>
        <w:t xml:space="preserve">Interactive season</w:t>
      </w:r>
      <w:r>
        <w:t xml:space="preserve">”</w:t>
      </w:r>
      <w:r>
        <w:t xml:space="preserve">, respectively. We also describe the "Constant season*" model below as a slight modification of the former. Each model has a similar functional form for time in relation to chlorophyll with slight differences in the smoothers that describe time.</w:t>
      </w:r>
    </w:p>
    <w:p>
      <w:pPr>
        <w:pStyle w:val="BodyText"/>
      </w:pPr>
      <m:oMathPara>
        <m:oMathParaPr>
          <m:jc m:val="center"/>
        </m:oMathParaPr>
        <m:oMath>
          <m:r>
            <m:rPr>
              <m:sty m:val="b"/>
            </m:rPr>
            <m:t>C</m:t>
          </m:r>
          <m:r>
            <m:rPr>
              <m:sty m:val="b"/>
            </m:rPr>
            <m:t>o</m:t>
          </m:r>
          <m:r>
            <m:rPr>
              <m:sty m:val="b"/>
            </m:rPr>
            <m:t>n</m:t>
          </m:r>
          <m:r>
            <m:rPr>
              <m:sty m:val="b"/>
            </m:rPr>
            <m:t>s</m:t>
          </m:r>
          <m:r>
            <m:rPr>
              <m:sty m:val="b"/>
            </m:rPr>
            <m:t>t</m:t>
          </m:r>
          <m:r>
            <m:rPr>
              <m:sty m:val="b"/>
            </m:rPr>
            <m:t>a</m:t>
          </m:r>
          <m:r>
            <m:rPr>
              <m:sty m:val="b"/>
            </m:rPr>
            <m:t>n</m:t>
          </m:r>
          <m:r>
            <m:rPr>
              <m:sty m:val="b"/>
            </m:rPr>
            <m:t>t</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ϵ</m:t>
          </m:r>
          <m:r>
            <m:t>  </m:t>
          </m:r>
          <m:r>
            <m:t>(</m:t>
          </m:r>
          <m:r>
            <m:t>2</m:t>
          </m:r>
          <m:r>
            <m:t>)</m:t>
          </m:r>
        </m:oMath>
      </m:oMathPara>
    </w:p>
    <w:p>
      <w:pPr>
        <w:pStyle w:val="FirstParagraph"/>
      </w:pPr>
      <m:oMathPara>
        <m:oMathParaPr>
          <m:jc m:val="center"/>
        </m:oMathParaPr>
        <m:oMath>
          <m:r>
            <m:rPr>
              <m:sty m:val="b"/>
            </m:rPr>
            <m:t>I</m:t>
          </m:r>
          <m:r>
            <m:rPr>
              <m:sty m:val="b"/>
            </m:rPr>
            <m:t>n</m:t>
          </m:r>
          <m:r>
            <m:rPr>
              <m:sty m:val="b"/>
            </m:rPr>
            <m:t>t</m:t>
          </m:r>
          <m:r>
            <m:rPr>
              <m:sty m:val="b"/>
            </m:rPr>
            <m:t>e</m:t>
          </m:r>
          <m:r>
            <m:rPr>
              <m:sty m:val="b"/>
            </m:rPr>
            <m:t>r</m:t>
          </m:r>
          <m:r>
            <m:rPr>
              <m:sty m:val="b"/>
            </m:rPr>
            <m:t>a</m:t>
          </m:r>
          <m:r>
            <m:rPr>
              <m:sty m:val="b"/>
            </m:rPr>
            <m:t>c</m:t>
          </m:r>
          <m:r>
            <m:rPr>
              <m:sty m:val="b"/>
            </m:rPr>
            <m:t>t</m:t>
          </m:r>
          <m:r>
            <m:rPr>
              <m:sty m:val="b"/>
            </m:rPr>
            <m:t>i</m:t>
          </m:r>
          <m:r>
            <m:rPr>
              <m:sty m:val="b"/>
            </m:rPr>
            <m:t>v</m:t>
          </m:r>
          <m:r>
            <m:rPr>
              <m:sty m:val="b"/>
            </m:rPr>
            <m:t>e</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t</m:t>
          </m:r>
          <m:sSub>
            <m:e>
              <m:r>
                <m:t>i</m:t>
              </m:r>
            </m:e>
            <m:sub>
              <m:r>
                <m:t>1</m:t>
              </m:r>
            </m:sub>
          </m:sSub>
          <m:r>
            <m:t>(</m:t>
          </m:r>
          <m:r>
            <m:t>d</m:t>
          </m:r>
          <m:r>
            <m:t>o</m:t>
          </m:r>
          <m:r>
            <m:t>y</m:t>
          </m:r>
          <m:r>
            <m:t>,</m:t>
          </m:r>
          <m:r>
            <m:t>d</m:t>
          </m:r>
          <m:r>
            <m:t>e</m:t>
          </m:r>
          <m:r>
            <m:t>c</m:t>
          </m:r>
          <m:r>
            <m:t>Y</m:t>
          </m:r>
          <m:r>
            <m:t>e</m:t>
          </m:r>
          <m:r>
            <m:t>a</m:t>
          </m:r>
          <m:r>
            <m:t>r</m:t>
          </m:r>
          <m:r>
            <m:t>)</m:t>
          </m:r>
          <m:r>
            <m:t>+</m:t>
          </m:r>
          <m:r>
            <m:t>ϵ</m:t>
          </m:r>
          <m:r>
            <m:t>  </m:t>
          </m:r>
          <m:r>
            <m:t>(</m:t>
          </m:r>
          <m:r>
            <m:t>3</m:t>
          </m:r>
          <m:r>
            <m:t>)</m:t>
          </m:r>
        </m:oMath>
      </m:oMathPara>
    </w:p>
    <w:p>
      <w:pPr>
        <w:pStyle w:val="FirstParagraph"/>
      </w:pPr>
      <w:r>
        <w:t xml:space="preserve">For each GAM, chlorophyll was modelled using a link function</w:t>
      </w:r>
      <w:r>
        <w:t xml:space="preserve"> </w:t>
      </w:r>
      <m:oMath>
        <m:r>
          <m:t>g</m:t>
        </m:r>
        <m:r>
          <m:t>(</m:t>
        </m:r>
        <m:r>
          <m:t>)</m:t>
        </m:r>
      </m:oMath>
      <w:r>
        <w:t xml:space="preserve"> </w:t>
      </w:r>
      <w:r>
        <w:t xml:space="preserve">that relates the response variable to the independent variables</w:t>
      </w:r>
      <w:r>
        <w:t xml:space="preserve"> </w:t>
      </w:r>
      <m:oMath>
        <m:r>
          <m:t>d</m:t>
        </m:r>
        <m:r>
          <m:t>e</m:t>
        </m:r>
        <m:r>
          <m:t>c</m:t>
        </m:r>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d</m:t>
        </m:r>
        <m:r>
          <m:t>e</m:t>
        </m:r>
        <m:r>
          <m:t>c</m:t>
        </m:r>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w:t>
      </w:r>
      <w:r>
        <w:t xml:space="preserve"> </w:t>
      </w:r>
      <w:r>
        <w:t xml:space="preserve">(Wood</w:t>
      </w:r>
      <w:r>
        <w:t xml:space="preserve"> </w:t>
      </w:r>
      <w:hyperlink w:anchor="ref-Wood03">
        <w:r>
          <w:rPr>
            <w:rStyle w:val="Hyperlink"/>
          </w:rPr>
          <w:t xml:space="preserve">2003</w:t>
        </w:r>
      </w:hyperlink>
      <w:r>
        <w:t xml:space="preserve">)</w:t>
      </w:r>
      <w:r>
        <w:t xml:space="preserve">.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A challenge for optimizing GAMs to time series data with significant intra- and interannual variation is choosing an appropriate functional form (i.e., equation (2) or (3)) and determining how much variation could be explained by the smoothers in each function. The two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 and</w:t>
      </w:r>
      <w:r>
        <w:t xml:space="preserve"> </w:t>
      </w:r>
      <m:oMath>
        <m:r>
          <m:t>t</m:t>
        </m:r>
        <m:sSub>
          <m:e>
            <m:r>
              <m:t>i</m:t>
            </m:r>
          </m:e>
          <m:sub>
            <m:r>
              <m:t>1</m:t>
            </m:r>
          </m:sub>
        </m:sSub>
        <m:r>
          <m:t>(</m:t>
        </m:r>
        <m:r>
          <m:t>)</m:t>
        </m:r>
      </m:oMath>
      <w:r>
        <w:t xml:space="preserve">) require user input on the potential upper limit for how much variation could be explained by the predictors during model fitting. Each smoother is approximated by multiple, localized spline functions that are connected by knots (</w:t>
      </w:r>
      <w:r>
        <w:rPr>
          <w:i/>
        </w:rPr>
        <w:t xml:space="preserve">k</w:t>
      </w:r>
      <w:r>
        <w:t xml:space="preserve">-values) to create a continuous function. Increasing the number of knots creates a smoother fit of the response variable against the predictor, whereas choosing a small number of knots creates a more rigid function that may underfit the data. Initial testing by</w:t>
      </w:r>
      <w:r>
        <w:t xml:space="preserve"> </w:t>
      </w:r>
      <w:r>
        <w:t xml:space="preserve">Murphy et al. (</w:t>
      </w:r>
      <w:hyperlink w:anchor="ref-Murphy19">
        <w:r>
          <w:rPr>
            <w:rStyle w:val="Hyperlink"/>
          </w:rPr>
          <w:t xml:space="preserve">2019</w:t>
        </w:r>
      </w:hyperlink>
      <w:r>
        <w:t xml:space="preserve">)</w:t>
      </w:r>
      <w:r>
        <w:t xml:space="preserve"> </w:t>
      </w:r>
      <w:r>
        <w:t xml:space="preserve">showed that the default</w:t>
      </w:r>
      <w:r>
        <w:t xml:space="preserve"> </w:t>
      </w:r>
      <w:r>
        <w:rPr>
          <w:i/>
        </w:rPr>
        <w:t xml:space="preserve">k</w:t>
      </w:r>
      <w:r>
        <w:t xml:space="preserve"> </w:t>
      </w:r>
      <w:r>
        <w:t xml:space="preserve">values in the mgcv package were insufficient for describing the interannual variation in chlorophyll data from Chesapeake Bay. The upper limit for the number of knots for the</w:t>
      </w:r>
      <w:r>
        <w:t xml:space="preserve"> </w:t>
      </w:r>
      <m:oMath>
        <m:sSub>
          <m:e>
            <m:r>
              <m:t>s</m:t>
            </m:r>
          </m:e>
          <m:sub>
            <m:r>
              <m:t>2</m:t>
            </m:r>
          </m:sub>
        </m:sSub>
        <m:r>
          <m:t>(</m:t>
        </m:r>
        <m:r>
          <m:t>d</m:t>
        </m:r>
        <m:r>
          <m:t>e</m:t>
        </m:r>
        <m:r>
          <m:t>c</m:t>
        </m:r>
        <m:r>
          <m:t>Y</m:t>
        </m:r>
        <m:r>
          <m:t>e</m:t>
        </m:r>
        <m:r>
          <m:t>a</m:t>
        </m:r>
        <m:r>
          <m:t>r</m:t>
        </m:r>
        <m:r>
          <m:t>)</m:t>
        </m:r>
      </m:oMath>
      <w:r>
        <w:t xml:space="preserve"> </w:t>
      </w:r>
      <w:r>
        <w:t xml:space="preserve">smoother was modified from the default value to the maximum between 10 or</w:t>
      </w:r>
      <w:r>
        <w:t xml:space="preserve"> </w:t>
      </w:r>
      <m:oMath>
        <m:r>
          <m:t>2</m:t>
        </m:r>
        <m:r>
          <m:t>/</m:t>
        </m:r>
        <m:r>
          <m:t>3</m:t>
        </m:r>
        <m:r>
          <m:t>×</m:t>
        </m:r>
      </m:oMath>
      <w:r>
        <w:t xml:space="preserve"> </w:t>
      </w:r>
      <w:r>
        <w:t xml:space="preserve">the number of years in the time series. We follow the same approach herein both models.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an extension of the constant season model was also added as "Constant season*", where the total number of knots for the</w:t>
      </w:r>
      <w:r>
        <w:t xml:space="preserve"> </w:t>
      </w:r>
      <m:oMath>
        <m:r>
          <m:t>d</m:t>
        </m:r>
        <m:r>
          <m:t>e</m:t>
        </m:r>
        <m:r>
          <m:t>c</m:t>
        </m:r>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d</m:t>
        </m:r>
        <m:r>
          <m:t>e</m:t>
        </m:r>
        <m:r>
          <m:t>c</m:t>
        </m:r>
        <m:r>
          <m:t>Y</m:t>
        </m:r>
        <m:r>
          <m:t>e</m:t>
        </m:r>
        <m:r>
          <m:t>a</m:t>
        </m:r>
        <m:r>
          <m:t>r</m:t>
        </m:r>
      </m:oMath>
      <w:r>
        <w:t xml:space="preserve"> </w:t>
      </w:r>
      <w:r>
        <w:t xml:space="preserve">to be unconstrained in how much variance is fit within and between years.</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satisfying assumptions for GAMs. The Box-Cox method was also used to transform chlorophyll as a comparison to the logarithmic transformation</w:t>
      </w:r>
      <w:r>
        <w:t xml:space="preserve"> </w:t>
      </w:r>
      <w:r>
        <w:t xml:space="preserve">(Box and Cox</w:t>
      </w:r>
      <w:r>
        <w:t xml:space="preserve"> </w:t>
      </w:r>
      <w:hyperlink w:anchor="ref-Box64">
        <w:r>
          <w:rPr>
            <w:rStyle w:val="Hyperlink"/>
          </w:rPr>
          <w:t xml:space="preserve">1964</w:t>
        </w:r>
      </w:hyperlink>
      <w:r>
        <w:t xml:space="preserve">)</w:t>
      </w:r>
      <w:r>
        <w:t xml:space="preserve">.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function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4</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estimated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(4) is only appropriate for positive values of a response variable, as for chlorophyll.</w:t>
      </w:r>
    </w:p>
    <w:p>
      <w:pPr>
        <w:pStyle w:val="BodyText"/>
      </w:pPr>
      <w:r>
        <w:t xml:space="preserve">All models were compared using standard summary statistics describing overall model fit to the observed data. In addition to the Generalized Cross-Validation score provided by the mgcv package,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3" w:name="using-gams-to-evaluate-trends"/>
      <w:r>
        <w:t xml:space="preserve">Using GAMs to evaluate trends</w:t>
      </w:r>
      <w:bookmarkEnd w:id="33"/>
    </w:p>
    <w:p>
      <w:pPr>
        <w:pStyle w:val="FirstParagraph"/>
      </w:pPr>
      <w:r>
        <w:t xml:space="preserve">Each of the GAM structures provided different approaches to quantify long-term variation in annual and seasonal changes. Although useful as a general approach to view functional forms for different time series, additional information on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w:t>
      </w:r>
      <w:r>
        <w:t xml:space="preserve"> </w:t>
      </w:r>
      <w:r>
        <w:t xml:space="preserve">(Murphy et al.</w:t>
      </w:r>
      <w:r>
        <w:t xml:space="preserve">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First, for two time periods of interest, trends were estimated as the difference in means from the GAM results between the periods, an estimate of percent change, and an estimate of statistical certainty of the comparison.</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5</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6</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trend test evaluated changes in seasonal estimates between years using results from a fitted GAM. This test provided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decYear</w:t>
      </w:r>
      <w:r>
        <w:t xml:space="preserve">,</w:t>
      </w:r>
      <w:r>
        <w:t xml:space="preserve"> </w:t>
      </w:r>
      <w:r>
        <w:rPr>
          <w:rStyle w:val="VerbatimChar"/>
        </w:rPr>
        <w:t xml:space="preserve">doy</w:t>
      </w:r>
      <w:r>
        <w:t xml:space="preserve">) covering defined seasons in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was obtained that provided a parameter vector for the supplied covariate values. This predictor matrix was then used to estimate the mean seasonal value within a year and associated variance using the sum of predictions from the matrix. As a result, each year had a mean value of chlorophyll with an associated confidence interval that describes the modelled expectation for the seasonal period.</w:t>
      </w:r>
    </w:p>
    <w:p>
      <w:pPr>
        <w:pStyle w:val="BodyText"/>
      </w:pPr>
      <w:r>
        <w:t xml:space="preserve">Although the seasonal averages obtained from GAMs described the expected values for each year, describing the direction and magnitude of the seasonal change across years was also of interest. Conventionally, trend analysis of changes in a response variable could be achieved with ordinary least squares regression, where the response variable is the expected seasonal value of chlorophyll and the predictor is year as a numeric value. Although this approach could be used to estimate a seasonal rate of change, the linear fit through the seasonal means does not account for the variance in the seasonal averages. To address this issue, we use mixed-effects regression meta-analysis (mixed-meta hereafter) to evaluate seasonal changes and their uncertainty over a finite set of years. This analysis is an extension of conventional regression by accounting for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7</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deviation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chlorophyll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(i.e., slope and intercept estimates), although parameter uncertainty is more accurately estimated with mixed meta-analysis.</w:t>
      </w:r>
    </w:p>
    <w:p>
      <w:pPr>
        <w:pStyle w:val="Heading2"/>
      </w:pPr>
      <w:bookmarkStart w:id="34" w:name="model-application-and-interpretation"/>
      <w:r>
        <w:t xml:space="preserve">Model application and interpretation</w:t>
      </w:r>
      <w:bookmarkEnd w:id="34"/>
    </w:p>
    <w:p>
      <w:pPr>
        <w:pStyle w:val="FirstParagraph"/>
      </w:pPr>
      <w:r>
        <w:t xml:space="preserve">Each of the three GAM structures (constant season, interactive season, and constant season*)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 terms. Models were also evaluated using different transformations to determine which had improved fit for specific time series. Trend analyses with fitted GAM predictions were also compared between stations and model types, particularly to determine if and when significant results varied with alternative methods. Temporal and spatial patterns within and between stations were also identified to better quantity changes in chlorophyll production throughout the period of record using GAMs to demonstrate improved descriptions relative to interpretations from the observed data.</w:t>
      </w:r>
    </w:p>
    <w:p>
      <w:pPr>
        <w:pStyle w:val="Heading1"/>
      </w:pPr>
      <w:bookmarkStart w:id="35" w:name="results"/>
      <w:r>
        <w:t xml:space="preserve">Results</w:t>
      </w:r>
      <w:bookmarkEnd w:id="35"/>
    </w:p>
    <w:p>
      <w:pPr>
        <w:pStyle w:val="Heading2"/>
      </w:pPr>
      <w:bookmarkStart w:id="36" w:name="model-performance-and-observed-results"/>
      <w:r>
        <w:t xml:space="preserve">Model performance and observed results</w:t>
      </w:r>
      <w:bookmarkEnd w:id="36"/>
    </w:p>
    <w:p>
      <w:pPr>
        <w:pStyle w:val="FirstParagraph"/>
      </w:pPr>
      <w:r>
        <w:t xml:space="preserve">A total of six models (three GAM structures, two link functions) were fit to each of nine stations, producing summary statistics for 18 different models (Table</w:t>
      </w:r>
      <w:r>
        <w:t xml:space="preserve"> </w:t>
      </w:r>
      <w:r>
        <w:t xml:space="preserve">3</w:t>
      </w:r>
      <w:r>
        <w:t xml:space="preserve">). Chlorophyll trends were generally well-explained across all models and stations, with an average R-squared value equal to 53% and ranging from 37% (Const seas log-model at station 34) to 77% (Const seas* log-model at station 32). The constant season model had the worst performance for all stations (average R</w:t>
      </w:r>
      <m:oMath>
        <m:sSup>
          <m:e>
            <m:r>
              <m:t>​</m:t>
            </m:r>
          </m:e>
          <m:sup>
            <m:r>
              <m:t>2</m:t>
            </m:r>
          </m:sup>
        </m:sSup>
      </m:oMath>
      <w:r>
        <w:t xml:space="preserve"> </w:t>
      </w:r>
      <w:r>
        <w:t xml:space="preserve">44%), with either the interactive season or constant season* model having improved measures of model fit. For all but stations 18 and 22, the constant season* model provided significantly lower AIC and GCV scores and higher R-squared values compared to the interactive season models. For station 18, the interactive season and constant season* models provided only a marginal improvement over the constant season model. For station 22, the interactive season and constant season* models provided similar but much improved fit to the data as compared to the constant season model. Moeel performance comparing either Box-Cox or logarithmic link functions were similar (average R</w:t>
      </w:r>
      <m:oMath>
        <m:sSup>
          <m:e>
            <m:r>
              <m:t>​</m:t>
            </m:r>
          </m:e>
          <m:sup>
            <m:r>
              <m:t>2</m:t>
            </m:r>
          </m:sup>
        </m:sSup>
      </m:oMath>
      <w:r>
        <w:t xml:space="preserve"> </w:t>
      </w:r>
      <w:r>
        <w:t xml:space="preserve">values of 54% and 53% respectively), although the logarithmic models had slightly improved model performance. Station 18 was the only location where the three GAM models were not significantly different from each other for the Box-Cox transformation.</w:t>
      </w:r>
    </w:p>
    <w:p>
      <w:pPr>
        <w:pStyle w:val="BodyText"/>
      </w:pPr>
      <w:r>
        <w:t xml:space="preserve">GAM predictions from north to south on the longitudinal axis provided different descriptions of annual and seasonal changes in chlorophyll. Four representative stations are shown in Figure</w:t>
      </w:r>
      <w:r>
        <w:t xml:space="preserve"> </w:t>
      </w:r>
      <w:r>
        <w:t xml:space="preserve">5</w:t>
      </w:r>
      <w:r>
        <w:t xml:space="preserve"> </w:t>
      </w:r>
      <w:r>
        <w:t xml:space="preserve">that capture spatial variation in chlorophyll and different temporal trends described by the models.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However, the magnitude of the fall peak at more southern stations shifted over time depending on the model. In particular, the interactive season model indicates a shift in the magnitude of the fall peak at stations 24, 27, and 32 with maximum concentrations observed around the mid-early 2000s. The annual trends for all models suggested similar trends over time, i.e., an increase followed by a recent decrease, whereas the constant season* models with an unconstrained smoother on the</w:t>
      </w:r>
      <w:r>
        <w:t xml:space="preserve"> </w:t>
      </w:r>
      <w:r>
        <w:rPr>
          <w:rStyle w:val="VerbatimChar"/>
        </w:rPr>
        <w:t xml:space="preserve">decYear</w:t>
      </w:r>
      <w:r>
        <w:t xml:space="preserve"> </w:t>
      </w:r>
      <w:r>
        <w:t xml:space="preserve">predictor varied considerably at station 24, 27, and 32. Annual trends at these stations were difficult to generalize and had substantial overlap with the seasonal trends. Conversely, station 18 had minimal visual differences in annual and seasonal trends across all models, which is reflected by similarities in the model performance statistics in Table</w:t>
      </w:r>
      <w:r>
        <w:t xml:space="preserve"> </w:t>
      </w:r>
      <w:r>
        <w:t xml:space="preserve">3</w:t>
      </w:r>
      <w:r>
        <w:t xml:space="preserve">.</w:t>
      </w:r>
    </w:p>
    <w:p>
      <w:pPr>
        <w:pStyle w:val="Heading2"/>
      </w:pPr>
      <w:bookmarkStart w:id="37" w:name="trend-estimates"/>
      <w:r>
        <w:t xml:space="preserve">Trend estimates</w:t>
      </w:r>
      <w:bookmarkEnd w:id="37"/>
    </w:p>
    <w:p>
      <w:pPr>
        <w:pStyle w:val="FirstParagraph"/>
      </w:pPr>
      <w:r>
        <w:t xml:space="preserve">Examples of results provided by the trend tests are shown for station 34, with estimates of percent change between year pairs and seasonal trend results for January to July and August to December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57.7% increase, although the change is insignificant. However, the change from 2000 to 2010 was statistically significant with an increase of 78%. The period from 2010 to 2017 showed a significant decrease of 39.8%. An assessment of the annual differences indicated if changes overall were observed, but provides no information on seasonal shifts that may have contributed to these differences. The results in figure</w:t>
      </w:r>
      <w:r>
        <w:t xml:space="preserve"> </w:t>
      </w:r>
      <w:r>
        <w:t xml:space="preserve">5</w:t>
      </w:r>
      <w:r>
        <w:t xml:space="preserve">d-i show results from mixed-meta regression analysis to indicate which seasonal changes were contributing to the annual differences. Rows d-f show the seasonal averages and trend estimates for the same year periods in rows a-c, but only for months from January to July. Similarly, rows g-i show the seasonal averages and trend estimates from August to December. The seasonal trend results suggested that the increase in annual averages from 2000 to 2010 was likely caused by an increase in chlorophyll values in the fall (Figure</w:t>
      </w:r>
      <w:r>
        <w:t xml:space="preserve"> </w:t>
      </w:r>
      <w:r>
        <w:t xml:space="preserve">5</w:t>
      </w:r>
      <w:r>
        <w:t xml:space="preserve">h). Seasonal changes from 2010 to 2017 showed that neither the January to July nor August to December changes were significant, suggesting an overall decrease in chlorophyll across all seasons may have recently occurred.</w:t>
      </w:r>
    </w:p>
    <w:p>
      <w:pPr>
        <w:pStyle w:val="BodyText"/>
      </w:pPr>
      <w:r>
        <w:t xml:space="preserve">Spatial variation in trends suggested that most stations in South Bay had increasing chlorophyll from 1990 to 2010 following a decrease in recent years, although many trends were not significant and varied by location (Figure</w:t>
      </w:r>
      <w:r>
        <w:t xml:space="preserve"> </w:t>
      </w:r>
      <w:r>
        <w:t xml:space="preserve">6</w:t>
      </w:r>
      <w:r>
        <w:t xml:space="preserve">a). From 1990 to 2000, only station 18 and 22 in the northern part of South Bay had significant increasing trends. The magnitude of the chlorophyll increase in the southernmost stations (34, 36) was higher during this same period, although the trends were not significant. From 2000 to 2010, significant increases were observed at the three northern-most stations (18, 21, and 22) and two southern stations (32, 34). From 2010 to 2016, all four southern stations had significant decreases in annual chlorophyll. The spatial trends were further evaluated with mixed-meta regression analysis to provide additional context to the annual changes by evaluating trends from January to July and August to December (Figure</w:t>
      </w:r>
      <w:r>
        <w:t xml:space="preserve"> </w:t>
      </w:r>
      <w:r>
        <w:t xml:space="preserve">6</w:t>
      </w:r>
      <w:r>
        <w:t xml:space="preserve">b). For the January to July period, significant changes were only observed at the southern stations, with increases at station 34 and 36 from 1990-2000, an increase at station 34 from 2000-2010, and a decrease at station 32 form 2010 to 2016. No significant changes were observed for the August to December period.</w:t>
      </w:r>
    </w:p>
    <w:p>
      <w:pPr>
        <w:pStyle w:val="BodyText"/>
      </w:pPr>
      <w:r>
        <w:t xml:space="preserve">A final analysis of the seasonal trends evaluated more discrete monthly periods in three month blocks to provide finer resolution to explain trends from the GAM results (Table</w:t>
      </w:r>
      <w:r>
        <w:t xml:space="preserve"> </w:t>
      </w:r>
      <w:r>
        <w:t xml:space="preserve">4</w:t>
      </w:r>
      <w:r>
        <w:t xml:space="preserve">). Many stations and time periods did not show any seasonal chlorophyll trends or only had one significant trend (e.g., stations 21 and 24, JFM period from 2000-2010). However, several trends were observed in the southern stations, with two significant trends at station 32, six at station 34, and three at station 36. Trends at station 32 indicated a positive increase in the JFM (January, February, March) period from 2000-2010, followed by a significant decrease for the same seasonal period from 2010-2016. Station 34 had significant increases in the JFM period from 1990-2010 and all other periods the OND (October, November, December) period for 2000 to 2010. Significant decreases were observed at station 34 in the JFM and AMJ (April, March, July) period from 2010 to 2016. Station 36 had significant chlorophyll increases in all seasons, except OND for the 1990 to 2000 period. Accordingly, table</w:t>
      </w:r>
      <w:r>
        <w:t xml:space="preserve"> </w:t>
      </w:r>
      <w:r>
        <w:t xml:space="preserve">4</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Heading2"/>
      </w:pPr>
      <w:bookmarkStart w:id="38" w:name="trend-comparisons"/>
      <w:r>
        <w:t xml:space="preserve">Trend comparisons</w:t>
      </w:r>
      <w:bookmarkEnd w:id="38"/>
    </w:p>
    <w:p>
      <w:pPr>
        <w:pStyle w:val="FirstParagraph"/>
      </w:pPr>
      <w:r>
        <w:t xml:space="preserve">Trends results from the mixed-meta regression method for each season and different time periods were compared to alternative trend analyses to demonstrate different conclusions that can be derived depending on method. Figure</w:t>
      </w:r>
      <w:r>
        <w:t xml:space="preserve"> </w:t>
      </w:r>
      <w:r>
        <w:t xml:space="preserve">7</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trend methods were used where the first shows slope estimates from a linear regression on annual averages of observed chlorophyll for the specified seasonal period and the second shows slope estimates from a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7</w:t>
      </w:r>
      <w:r>
        <w:t xml:space="preserve">). The slope estimates from the linear model applied to the observed data were understandably more variable than the slope estimate from the average and mixed-meta methods, with much larger slopes observed especially at the more southern stations. Slope estimates from the linear model applied to the averages from the GAMs as compared ot the mixed-meta results were identical at almost all stations, excluding station 32 in the January-July period from 1990-2000 when the former showed a negative slope and the latter showed a positive slope.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39" w:name="discussion"/>
      <w:r>
        <w:t xml:space="preserve">Discussion</w:t>
      </w:r>
      <w:bookmarkEnd w:id="39"/>
    </w:p>
    <w:p>
      <w:pPr>
        <w:pStyle w:val="Heading1"/>
      </w:pPr>
      <w:bookmarkStart w:id="40" w:name="conclusions"/>
      <w:r>
        <w:t xml:space="preserve">Conclusions</w:t>
      </w:r>
      <w:bookmarkEnd w:id="40"/>
    </w:p>
    <w:p>
      <w:pPr>
        <w:pStyle w:val="Heading1"/>
      </w:pPr>
      <w:bookmarkStart w:id="41" w:name="acknowledgments"/>
      <w:r>
        <w:t xml:space="preserve">Acknowledgments</w:t>
      </w:r>
      <w:bookmarkEnd w:id="41"/>
    </w:p>
    <w:p>
      <w:pPr>
        <w:pStyle w:val="Heading1"/>
      </w:pPr>
      <w:bookmarkStart w:id="42" w:name="figures"/>
      <w:r>
        <w:t xml:space="preserve">Figures</w:t>
      </w:r>
      <w:bookmarkEnd w:id="42"/>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4"/>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GAM structures for constant season, interactive season, and constant season*.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5"/>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GAM structures for constant season, interactive season, and constant season*.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6"/>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7"/>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Const seas*." title="" id="1" name="Picture"/>
            <a:graphic>
              <a:graphicData uri="http://schemas.openxmlformats.org/drawingml/2006/picture">
                <pic:pic>
                  <pic:nvPicPr>
                    <pic:cNvPr descr="figs/trndmap.png" id="0" name="Picture"/>
                    <pic:cNvPicPr>
                      <a:picLocks noChangeArrowheads="1" noChangeAspect="1"/>
                    </pic:cNvPicPr>
                  </pic:nvPicPr>
                  <pic:blipFill>
                    <a:blip r:embed="rId48"/>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Const seas*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4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50" w:name="tables"/>
      <w:r>
        <w:t xml:space="preserve">Tables</w:t>
      </w:r>
      <w:bookmarkEnd w:id="50"/>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w:t>
      </w:r>
    </w:p>
    <w:tbl>
      <w:tblPr>
        <w:tblStyle w:val="Table"/>
        <w:tblW w:type="pct" w:w="5000.0"/>
        <w:tblLook w:firstRow="1"/>
        <w:tblCaption w:val="Table 2: Summary and details for each of the GAM structures."/>
      </w:tblPr>
      <w:tblGrid>
        <w:gridCol w:w="600"/>
        <w:gridCol w:w="1601"/>
        <w:gridCol w:w="5718"/>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Constant season</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Interactive season</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Const seas</w:t>
            </w:r>
            <w:r>
              <w:t xml:space="preserve">; and Within-year seasonal fluctuations that vary across years but in a constrained pattern compared to</w:t>
            </w:r>
            <w:r>
              <w:t xml:space="preserve"> </w:t>
            </w:r>
            <w:r>
              <w:rPr>
                <w:rStyle w:val="VerbatimChar"/>
              </w:rPr>
              <w:t xml:space="preserve">Const seas*</w:t>
            </w:r>
            <w:r>
              <w:t xml:space="preserve"> </w:t>
            </w:r>
            <w:r>
              <w:t xml:space="preserve">(</w:t>
            </w:r>
            <w:r>
              <w:rPr>
                <w:rStyle w:val="VerbatimChar"/>
              </w:rPr>
              <w:t xml:space="preserve">ti(decYear, doy, bs = c("tp", "cc"))</w:t>
            </w:r>
            <w:r>
              <w:t xml:space="preserve">)</w:t>
            </w:r>
          </w:p>
        </w:tc>
      </w:tr>
      <w:tr>
        <w:tc>
          <w:p>
            <w:pPr>
              <w:pStyle w:val="Compact"/>
              <w:jc w:val="left"/>
            </w:pPr>
            <w:r>
              <w:rPr>
                <w:rStyle w:val="VerbatimChar"/>
              </w:rPr>
              <w:t xml:space="preserve">Constant season*</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Const seas</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logarithmic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Const seas</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Const seas</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105"/>
        <w:tblLook w:firstRow="1" w:lastRow="0" w:firstColumn="0" w:lastColumn="0" w:noHBand="0" w:noVBand="1"/>
      </w:tblPr>
      <w:tblGrid>
        <w:gridCol w:w="642"/>
        <w:gridCol w:w="1273"/>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6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51" w:name="supplement"/>
      <w:r>
        <w:t xml:space="preserve">Supplement</w:t>
      </w:r>
      <w:bookmarkEnd w:id="51"/>
    </w:p>
    <w:p>
      <w:pPr>
        <w:pStyle w:val="Heading1"/>
      </w:pPr>
      <w:bookmarkStart w:id="52" w:name="references"/>
      <w:r>
        <w:t xml:space="preserve">References</w:t>
      </w:r>
      <w:bookmarkEnd w:id="52"/>
    </w:p>
    <w:bookmarkStart w:id="87" w:name="refs"/>
    <w:bookmarkStart w:id="53" w:name="ref-Beck15"/>
    <w:p>
      <w:pPr>
        <w:pStyle w:val="Bibliography"/>
      </w:pPr>
      <w:r>
        <w:t xml:space="preserve">Beck, M. W., and J. D. Hagy III. 2015. Adaptation of a weighted regression approach to evaluate water quality trends in an estuary. Environmental Modelling and Assessment 20:637–655.</w:t>
      </w:r>
    </w:p>
    <w:bookmarkEnd w:id="53"/>
    <w:bookmarkStart w:id="54"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4"/>
    <w:bookmarkStart w:id="55" w:name="ref-Box64"/>
    <w:p>
      <w:pPr>
        <w:pStyle w:val="Bibliography"/>
      </w:pPr>
      <w:r>
        <w:t xml:space="preserve">Box, G. E. P., and D. R. Cox. 1964. An analysis of transformations (with discussion). Journal of the Royal Statistical Society (B) 26:211–252.</w:t>
      </w:r>
    </w:p>
    <w:bookmarkEnd w:id="55"/>
    <w:bookmarkStart w:id="56" w:name="ref-Cleveland90"/>
    <w:p>
      <w:pPr>
        <w:pStyle w:val="Bibliography"/>
      </w:pPr>
      <w:r>
        <w:t xml:space="preserve">Cleveland, R. B., W. S. Cleveland, J. E. McRae, and I. Terpenning. 1990. STL: A seasonal-trend decomposition procedure based on Loess. Journal of Official Statistics 6:3–73.</w:t>
      </w:r>
    </w:p>
    <w:bookmarkEnd w:id="56"/>
    <w:bookmarkStart w:id="57" w:name="ref-Cloern10"/>
    <w:p>
      <w:pPr>
        <w:pStyle w:val="Bibliography"/>
      </w:pPr>
      <w:r>
        <w:t xml:space="preserve">Cloern, J. E., and A. D. Jassby. 2010. Patterns and scales of phytoplankton variability in estuarine-coastal ecosystems. Estuaries and Coasts 33:230–241.</w:t>
      </w:r>
    </w:p>
    <w:bookmarkEnd w:id="57"/>
    <w:bookmarkStart w:id="58" w:name="ref-Cloern16"/>
    <w:p>
      <w:pPr>
        <w:pStyle w:val="Bibliography"/>
      </w:pPr>
      <w:r>
        <w:t xml:space="preserve">Cloern, J. E., and T. S. Schraga. 2016. USGS measurements of water quality in San Francisco Bay (CA), 1969-2015: U.S. Geological Survey data release. https://doi.org/10.5066/F7TQ5ZPR.</w:t>
      </w:r>
    </w:p>
    <w:bookmarkEnd w:id="58"/>
    <w:bookmarkStart w:id="59" w:name="ref-Cloern20"/>
    <w:p>
      <w:pPr>
        <w:pStyle w:val="Bibliography"/>
      </w:pPr>
      <w:r>
        <w:t xml:space="preserve">Cloern, J. E., T. S. Shcraga, E. Nejad, and C. Martin. 2020. Nutrient status of San Francisco Bay and its management implications. Estuaries &amp; Coasts 43:1299–1317.</w:t>
      </w:r>
    </w:p>
    <w:bookmarkEnd w:id="59"/>
    <w:bookmarkStart w:id="60" w:name="ref-Cumming06"/>
    <w:p>
      <w:pPr>
        <w:pStyle w:val="Bibliography"/>
      </w:pPr>
      <w:r>
        <w:t xml:space="preserve">Cumming, G. S., D. H. M. Cumming, and C. L. Redman. 2006. Scale mismatches in social-ecological systems: Causes, consequences, and solutions. Ecology and Society 11:14.</w:t>
      </w:r>
    </w:p>
    <w:bookmarkEnd w:id="60"/>
    <w:bookmarkStart w:id="61" w:name="ref-Forbes18"/>
    <w:p>
      <w:pPr>
        <w:pStyle w:val="Bibliography"/>
      </w:pPr>
      <w:r>
        <w:t xml:space="preserve">Forbes, D. J., and Z. Xie. 2018. Identifying process scales in the Indian River Lagoon, Florida using wavelet transform analysis of dissolved oxygen. Ecological Complexity 36:149–167.</w:t>
      </w:r>
    </w:p>
    <w:bookmarkEnd w:id="61"/>
    <w:bookmarkStart w:id="62" w:name="ref-Gasparrini12"/>
    <w:p>
      <w:pPr>
        <w:pStyle w:val="Bibliography"/>
      </w:pPr>
      <w:r>
        <w:t xml:space="preserve">Gasparrini, A., B. Armstrong, and M. G. Kenward. 2012. Multivariate meta-analysis for non-linear and other multi-parameter associations. Statistics in Medicine 31:3821–3839.</w:t>
      </w:r>
    </w:p>
    <w:bookmarkEnd w:id="62"/>
    <w:bookmarkStart w:id="63" w:name="ref-Hafen10"/>
    <w:p>
      <w:pPr>
        <w:pStyle w:val="Bibliography"/>
      </w:pPr>
      <w:r>
        <w:t xml:space="preserve">Hafen, R. P. 2010. Local regression models: Advancements, applications, and new methods. PhD thesis, Purdue University, West Lafayette, Indiana.</w:t>
      </w:r>
    </w:p>
    <w:bookmarkEnd w:id="63"/>
    <w:bookmarkStart w:id="64"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4"/>
    <w:bookmarkStart w:id="65" w:name="ref-Hastie90"/>
    <w:p>
      <w:pPr>
        <w:pStyle w:val="Bibliography"/>
      </w:pPr>
      <w:r>
        <w:t xml:space="preserve">Hastie, T. J., and R. J. Tibshirani. 1990. Generalized additive models. Page 335. Chapman; Hall, London, New York.</w:t>
      </w:r>
    </w:p>
    <w:bookmarkEnd w:id="65"/>
    <w:bookmarkStart w:id="66" w:name="ref-He06"/>
    <w:p>
      <w:pPr>
        <w:pStyle w:val="Bibliography"/>
      </w:pPr>
      <w:r>
        <w:t xml:space="preserve">He, S., S. Mazumdar, and V. C. Arena. 2006. A comparative study of the use of GAM and GLM in air pollution research. Environmetrics 17:81–93.</w:t>
      </w:r>
    </w:p>
    <w:bookmarkEnd w:id="66"/>
    <w:bookmarkStart w:id="67"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7"/>
    <w:bookmarkStart w:id="68" w:name="ref-Hirsch15"/>
    <w:p>
      <w:pPr>
        <w:pStyle w:val="Bibliography"/>
      </w:pPr>
      <w:r>
        <w:t xml:space="preserve">Hirsch, R. M., S. A. Archfield, and L. A. De Cicco. 2015. A bootstrap method for estimating uncertainty of water quality trends. Environmental Modelling and Software 73:148–166.</w:t>
      </w:r>
    </w:p>
    <w:bookmarkEnd w:id="68"/>
    <w:bookmarkStart w:id="69"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69"/>
    <w:bookmarkStart w:id="70" w:name="ref-Hirsch82"/>
    <w:p>
      <w:pPr>
        <w:pStyle w:val="Bibliography"/>
      </w:pPr>
      <w:r>
        <w:t xml:space="preserve">Hirsch, R. M., J. R. Slack, and R. A. Smith. 1982. Techniques of trend analysis for monthly water quality data. Water Resources Research 18:107–121.</w:t>
      </w:r>
    </w:p>
    <w:bookmarkEnd w:id="70"/>
    <w:bookmarkStart w:id="71"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71"/>
    <w:bookmarkStart w:id="72"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2"/>
    <w:bookmarkStart w:id="73" w:name="ref-Morton08"/>
    <w:p>
      <w:pPr>
        <w:pStyle w:val="Bibliography"/>
      </w:pPr>
      <w:r>
        <w:t xml:space="preserve">Morton, R., and B. L. Henderson. 2008. Estimation of nonlinear trends in water quality: An improved approach using generalized additive models. Water Resources Research 44:W07420.</w:t>
      </w:r>
    </w:p>
    <w:bookmarkEnd w:id="73"/>
    <w:bookmarkStart w:id="74"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4"/>
    <w:bookmarkStart w:id="7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5"/>
    <w:bookmarkStart w:id="76"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6"/>
    <w:bookmarkStart w:id="77"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7"/>
    <w:bookmarkStart w:id="78" w:name="ref-Sera19"/>
    <w:p>
      <w:pPr>
        <w:pStyle w:val="Bibliography"/>
      </w:pPr>
      <w:r>
        <w:t xml:space="preserve">Sera, F., B. Armstrong, M. Blangiardo, and A. Gasparrini. 2019. An extended mixed-effects framework for meta-analysis. Statistics in Medicine 38:5429–5444.</w:t>
      </w:r>
    </w:p>
    <w:bookmarkEnd w:id="78"/>
    <w:bookmarkStart w:id="79"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79"/>
    <w:bookmarkStart w:id="80"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0"/>
    <w:bookmarkStart w:id="81" w:name="ref-Urquhart98"/>
    <w:p>
      <w:pPr>
        <w:pStyle w:val="Bibliography"/>
      </w:pPr>
      <w:r>
        <w:t xml:space="preserve">Urquhart, N. S., S. G. Paulsen, and D. P. Larsen. 1998. Monitoring for policy-relevant regional trends over time. Ecological Applications 8:246–257.</w:t>
      </w:r>
    </w:p>
    <w:bookmarkEnd w:id="81"/>
    <w:bookmarkStart w:id="82" w:name="ref-Venables02"/>
    <w:p>
      <w:pPr>
        <w:pStyle w:val="Bibliography"/>
      </w:pPr>
      <w:r>
        <w:t xml:space="preserve">Venables, W. N., and B. D. Ripley. 2002. Modern applied statistics with S. Fourth. Springer-Verlag, New York, New York.</w:t>
      </w:r>
    </w:p>
    <w:bookmarkEnd w:id="82"/>
    <w:bookmarkStart w:id="83" w:name="ref-Wan17"/>
    <w:p>
      <w:pPr>
        <w:pStyle w:val="Bibliography"/>
      </w:pPr>
      <w:r>
        <w:t xml:space="preserve">Wan, Y., L. Wan, Y. Li, and P. Doering. 2017. Decadal and seasonal trends of nutrient concentration and export from highly managed coastal catchments. Water Research 115:180–194.</w:t>
      </w:r>
    </w:p>
    <w:bookmarkEnd w:id="83"/>
    <w:bookmarkStart w:id="84" w:name="ref-Wood03"/>
    <w:p>
      <w:pPr>
        <w:pStyle w:val="Bibliography"/>
      </w:pPr>
      <w:r>
        <w:t xml:space="preserve">Wood, S. N. 2003. Thin-plate regression splines. Journal of the Royal Statistical Society (B) 65:95–114.</w:t>
      </w:r>
    </w:p>
    <w:bookmarkEnd w:id="84"/>
    <w:bookmarkStart w:id="85" w:name="ref-Wood17"/>
    <w:p>
      <w:pPr>
        <w:pStyle w:val="Bibliography"/>
      </w:pPr>
      <w:r>
        <w:t xml:space="preserve">Wood, S. N. 2017. Generalized additive models: An introduction with r. Page 476. 2nd editions. Chapman; Hall, CRC Press, London, United Kingdom.</w:t>
      </w:r>
    </w:p>
    <w:bookmarkEnd w:id="85"/>
    <w:bookmarkStart w:id="86" w:name="ref-Yang20"/>
    <w:p>
      <w:pPr>
        <w:pStyle w:val="Bibliography"/>
      </w:pPr>
      <w:r>
        <w:t xml:space="preserve">Yang, G., and D. L. Moyer. 2020. Estimation of nonlinear water-quality trends in high-frequency monitoring data. Science of The Total Enviornment 715:10.1016/j.scitotenv.2020.136686.</w:t>
      </w:r>
    </w:p>
    <w:bookmarkEnd w:id="86"/>
    <w:bookmarkEnd w:id="87"/>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2020-10-24T16:19:31Z</dcterms:created>
  <dcterms:modified xsi:type="dcterms:W3CDTF">2020-10-24T16:19:31Z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